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835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835E1" w:rsidRDefault="00FD197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835E1" w:rsidRDefault="00FD197B">
            <w:pPr>
              <w:spacing w:after="0" w:line="240" w:lineRule="auto"/>
            </w:pPr>
            <w:r>
              <w:t>15903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835E1" w:rsidRDefault="00FD197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835E1" w:rsidRDefault="00FD197B">
            <w:pPr>
              <w:spacing w:after="0" w:line="240" w:lineRule="auto"/>
            </w:pPr>
            <w:r>
              <w:t>OSNOVNA ŠKOLA MATE LOVRAKA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835E1" w:rsidRDefault="00FD197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835E1" w:rsidRDefault="00FD197B">
            <w:pPr>
              <w:spacing w:after="0" w:line="240" w:lineRule="auto"/>
            </w:pPr>
            <w:r>
              <w:t>31</w:t>
            </w:r>
          </w:p>
        </w:tc>
      </w:tr>
    </w:tbl>
    <w:p w:rsidR="007835E1" w:rsidRDefault="00FD197B">
      <w:r>
        <w:br/>
      </w:r>
    </w:p>
    <w:p w:rsidR="007835E1" w:rsidRDefault="00FD197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835E1" w:rsidRDefault="00FD197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835E1" w:rsidRDefault="00FD197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1.989.902,49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2.156.756,20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1.877.923,56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2.148.265,63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111.978,93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8.490,57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7,6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93,2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68.967,39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589.589,76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854,9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68.656,73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589.300,25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858,3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580.809,68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U izvještajnom razdoblju od 1.1.2025. do 31.12.2025. godine, ostvaren je manjak prihoda u iznosu od 580.809,68 eura, koji umanjen za preneseni višak na kraju izvještajnog razdoblja iznosi 553.880,02 eura.</w:t>
      </w:r>
    </w:p>
    <w:p w:rsidR="007835E1" w:rsidRDefault="00FD197B">
      <w:r>
        <w:t>Ministarsvo znanosti, obrazovanja i mladih doznačuj</w:t>
      </w:r>
      <w:r>
        <w:t>e sredstva za prehranu svih učenika škole, dok troškove produženog boravka snose roditelji i osnivač.</w:t>
      </w:r>
    </w:p>
    <w:p w:rsidR="007835E1" w:rsidRDefault="00FD197B">
      <w:r>
        <w:t>Osnivač je ove godine odobrio kupovinu novog službenog automobila za potrebe škole.</w:t>
      </w:r>
    </w:p>
    <w:p w:rsidR="007835E1" w:rsidRDefault="00FD197B">
      <w:r>
        <w:lastRenderedPageBreak/>
        <w:t>Najveći rashodi odnose se projekt jednosmjenskoga rada koji je u tijek</w:t>
      </w:r>
      <w:r>
        <w:t>u (dogradnja škole). Škola je zaprimila EU sredstva za projekt, ali se ta sredstva knjiže kao predujam.</w:t>
      </w:r>
    </w:p>
    <w:p w:rsidR="007835E1" w:rsidRDefault="00FD197B">
      <w:r>
        <w:t> </w:t>
      </w:r>
    </w:p>
    <w:p w:rsidR="007835E1" w:rsidRDefault="00FD197B">
      <w:r>
        <w:br/>
      </w:r>
    </w:p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151,7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Kapitalne pomoći odnose se na udžbenike za višegodišnju upotrebu i lektiru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78.827,83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177.745,13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225,5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se odnosi na prihode za: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plaće pomoćnika u nastavi 69.176,50 eura, 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projekt Erasmus+ 13.559,87 eura i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projekt jednosmjenskoga rada 95.008,76 eura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25.932,88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13.962,66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53,8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je manji jer u ovoj godini nije bilo prihoda za naknadu šteta, te se odnosi samo na prihod za produženi boravak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Povećan je iznos u odnosu na prošlu godinu zbog većeg broja klubova koji iznajmljuju školsku dvoranu 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64.596,90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39.732,89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61,5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prihoda odnosi se na nabavu računalne opreme, sustav video nadzora u područnim školama i novi službeni automobil za potrebe škole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1.513.231,52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1.733.737,40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na rashodima za zaposlene veći je u odnosu na prošlu godinu zbog povećanja osnovice plaće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380,4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Povećan iznos u odnosu na prošlu godinu zbog većeg broja usavršavanja za koje se plaćala kotizacija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101.396,19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152.902,48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je veći u odnosu na prošlu godinu zbog većih rashoda za prijevoz učenika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11.318,79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241,3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je veći u odnosu na prošlu godinu zbog izmjene ulaznih vrata u matičnoj i područnim školama, te spajanja PŠ Stupovača na gradsku vodovodu mrežu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168,4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je veći zbog premija osiguranja novog službenog vozila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244,3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je veći u odnosu na prošlu godinu zbog većeg iznosa mjesečne naknade zbog nezapošljavanja invalida koja se isplaćuje pri isplati plaća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se odnosi na bankarske usluge vezano za kreditni zahtjev, a u sklopu projekta jednosmjenskog rada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3.833,74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154.635,56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4033,5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Obračunati prihodi poslovanja značajno su veći zbog novo načina knjiženja EU sredstava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68.967,39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589.589,76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854,9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Iznos se odnosi na nabavu računalne opreme, sustava video nadzora u područnim školama, novog službenog automobila, a značajno je veći rashod zbog dodatnih ulaganja (dogradnja škole - jednosmjenski rad) 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68.656,73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589.300,25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858,3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Manjak prihoda od nefinancijske imovine odnosi se novi način evidentiranja EU sredstava. Škola je zaprimila sredstva za pokriće rashoda, ali se sredstva knjiže kao predujam do odobrenja zahtjeva za sredstva.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553.880,02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Ukupan manjak prihoda i primitaka rezultat je novog načina evidentiranja troškova za plaće zaposlenika, kao i knjiženja EU sredstava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32.985,72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591,7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U 2025. godine kupljen je novi službeni automobil za potrebe škole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320.146,28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Obveze za rashode vezano za radove na dogradnji škole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319.576,27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Obveze za rashode za izvršene radove na dogradnji škole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</w:t>
            </w:r>
            <w:r>
              <w:rPr>
                <w:sz w:val="18"/>
              </w:rPr>
              <w:t>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53.999,77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-553.880,02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-1025,7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Manjak poslovanja je rezultat novog načina knjiženja i izvještavanja, kao i zaprimljenih većih ulaznih računa na kraju godine. Škola je u projektu jednosmjenskoga rada, te ima velike rashode za radove na dogradnji škole. Sredstva su doznačena kao predujam,</w:t>
      </w:r>
      <w:r>
        <w:t xml:space="preserve"> te se očekuje pokriće u narednom razdoblju kada budu priznati zahtjevi i knjižen prihod.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proračunskim korisnicima iz proračuna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139.172,81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Odnosi se na plaću i ostala materijalna prava za 12/2025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od prodaje nefinancijske imovine - </w:t>
            </w:r>
            <w:r>
              <w:rPr>
                <w:sz w:val="18"/>
              </w:rPr>
              <w:t>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17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71,5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Potraživanja za prihode od otkupa stanova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EU predujmove dane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1.254.458,14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Obveze za doznačen predujam školi iz EU sredstava, umanjen za iznos knjiženog prihoda nakon odobrenih zahtjeva za sredstva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4.408.909,87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Odnosi se na ukupna bespovratna sredstava umanjena za odobrene zahtjeve koji su priznati kao prihod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1.946.890,95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2.737.855,39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 xml:space="preserve">Ukupni rashodi i izdaci poslovanja iskazani na </w:t>
      </w:r>
      <w:r>
        <w:rPr>
          <w:i/>
        </w:rPr>
        <w:t>PR-RAS Y345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82.501,49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78.925,76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 xml:space="preserve">Rashodi vezani za prehranu učenika </w:t>
      </w:r>
      <w:r>
        <w:rPr>
          <w:i/>
        </w:rPr>
        <w:t>PR-RAS 3222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79.972,55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Temeljem Okružnice Ministarstva financija o sastavljanju i predaji financijskih izvještaja, ispravak vrijednosti dugotrajne nefinancijske imovine knjiži se i na račun 91511 Promjene u vrijednosti imovine, te se odnosi na smanjenje vrijednosti imovine.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</w:t>
      </w:r>
      <w:r>
        <w:rPr>
          <w:b/>
          <w:sz w:val="28"/>
        </w:rPr>
        <w:t>ještaj o obvezama</w:t>
      </w:r>
    </w:p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Dospjele obveze odnose se na račun kojem je dospijeće bilo do 31.12.2025. godine, ali nije plaćen jer je zaprimljen u siječnju 2026. godine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83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5E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783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</w:t>
            </w:r>
            <w:r>
              <w:rPr>
                <w:sz w:val="18"/>
              </w:rPr>
              <w:t>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1.741.778,64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835E1" w:rsidRDefault="00FD197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835E1" w:rsidRDefault="007835E1">
      <w:pPr>
        <w:spacing w:after="0"/>
      </w:pPr>
    </w:p>
    <w:p w:rsidR="007835E1" w:rsidRDefault="00FD197B">
      <w:r>
        <w:t>Nedospjele obveze odnose se na: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međusobne obveze subjekata općeg proračuna (bolovanje HZZO) u iznosu od 398,35 eura,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obveze za plaće i naknade zaposlenika za 12/2025 u iznosu od 138.374,70 eura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obveze za materijal i usluge u iznosu od 28.308,26 eura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obveze za nabavu nefinancijske imovine u ukupnom iznosu od 320.146,28 eura, odnose se na račun za nabavu lektire u iznosu o</w:t>
      </w:r>
      <w:r>
        <w:t>d 570,01 euro i dodatna ulaganja na građevinskim objektima (dogradnja škole - projekt jednosmjenskog rada) u iznosu od 319.576,27 eura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obveze za EU predujmove u iznosu od 1.254.458,14 eura odnosi se na projekt jednosmjnskog rada (račun 275), obveze proraču</w:t>
      </w:r>
      <w:r>
        <w:t>nskih korisnika za povrat u proračun 92,91 eura (račun 276)</w:t>
      </w:r>
    </w:p>
    <w:p w:rsidR="007835E1" w:rsidRDefault="00FD197B">
      <w:r>
        <w:t> </w:t>
      </w:r>
    </w:p>
    <w:p w:rsidR="007835E1" w:rsidRDefault="007835E1"/>
    <w:p w:rsidR="007835E1" w:rsidRDefault="00FD197B">
      <w:pPr>
        <w:keepNext/>
        <w:spacing w:line="240" w:lineRule="auto"/>
        <w:jc w:val="center"/>
      </w:pPr>
      <w:r>
        <w:rPr>
          <w:sz w:val="28"/>
        </w:rPr>
        <w:t>Bilješka 31.</w:t>
      </w:r>
    </w:p>
    <w:p w:rsidR="007835E1" w:rsidRDefault="00FD197B">
      <w:pPr>
        <w:spacing w:line="240" w:lineRule="auto"/>
        <w:jc w:val="both"/>
      </w:pPr>
      <w:r>
        <w:rPr>
          <w:b/>
        </w:rPr>
        <w:t>EU izvještaj</w:t>
      </w:r>
    </w:p>
    <w:p w:rsidR="007835E1" w:rsidRDefault="00FD197B">
      <w:r>
        <w:t>EU izvještaji koje škola predaje vezani su za projekte: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projekt Erasmus+ (510 - Programi unije) - Škola sudjeluje u projektima Erasmus+ od 2023. godine. U 2025. godini doznačena su sva odobrena sredstva, te ista i utrošena. Iznos iskazan na 99171 odnosi se na razliku potpisanog ugovora i doznačenih sredstava (p</w:t>
      </w:r>
      <w:r>
        <w:t>reostalih 20% u iznosu od 5.695,60 eura koji se očekuju po odobrenju završnog izvješća)</w:t>
      </w:r>
    </w:p>
    <w:p w:rsidR="007835E1" w:rsidRDefault="00FD197B">
      <w:pPr>
        <w:pStyle w:val="ListParagraph"/>
        <w:numPr>
          <w:ilvl w:val="0"/>
          <w:numId w:val="1"/>
        </w:numPr>
      </w:pPr>
      <w:r>
        <w:t>projekt Pomoćnici u nastavi (561 - Europski socijalni fond plus) - plaće i ostala materijalna prava po ugovoru o radu financiraju se iz izvora pomoći 87,10% i iz prorač</w:t>
      </w:r>
      <w:r>
        <w:t>una osnivača 12,90%. U izvještaju su iskazani iznosi vezani za izvor pomoći. Saldo potraživanja je iskazan na računu 16381 te iznosi 11.823,83 eura</w:t>
      </w:r>
    </w:p>
    <w:p w:rsidR="007835E1" w:rsidRDefault="00FD197B">
      <w:pPr>
        <w:pStyle w:val="ListParagraph"/>
        <w:numPr>
          <w:ilvl w:val="0"/>
          <w:numId w:val="1"/>
        </w:numPr>
      </w:pPr>
      <w:r>
        <w:lastRenderedPageBreak/>
        <w:t>projekt dogradnje Škole -jednosmjenski rad (581- Mehanizam za oporavak i otpornost - bespovratna sredstva). Za projekt jednosmjenskog rada koji je u tijeku ukupna bespovratna sredstva po ugovoru iznose 4.498.223,03 eura. Taj iznos je evidentiran na izvanbi</w:t>
      </w:r>
      <w:r>
        <w:t>lančnim računu 99171. Škola je zaprimila predujam 29.5.2025. godine u iznosu od 1.349.466,90 eura. Po podnesenim i odobrenim zahtjevima za sredstva, iznos je umanjen na predujmu i priznat kao prihod (ukupno 95.008,76 eura), te se time umanjio i iznos na iz</w:t>
      </w:r>
      <w:r>
        <w:t>vanbilančnim računima.</w:t>
      </w:r>
    </w:p>
    <w:p w:rsidR="007835E1" w:rsidRDefault="00FD197B">
      <w:r>
        <w:t> </w:t>
      </w:r>
    </w:p>
    <w:p w:rsidR="007835E1" w:rsidRDefault="007835E1"/>
    <w:sectPr w:rsidR="00783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23E"/>
    <w:multiLevelType w:val="hybridMultilevel"/>
    <w:tmpl w:val="06D80938"/>
    <w:name w:val="disc"/>
    <w:lvl w:ilvl="0" w:tplc="27868E00">
      <w:start w:val="1"/>
      <w:numFmt w:val="bullet"/>
      <w:lvlText w:val="•"/>
      <w:lvlJc w:val="left"/>
      <w:pPr>
        <w:ind w:left="720" w:hanging="360"/>
      </w:pPr>
    </w:lvl>
    <w:lvl w:ilvl="1" w:tplc="251CEE5E">
      <w:start w:val="1"/>
      <w:numFmt w:val="bullet"/>
      <w:lvlText w:val="•"/>
      <w:lvlJc w:val="left"/>
      <w:pPr>
        <w:ind w:left="1440" w:hanging="360"/>
      </w:pPr>
    </w:lvl>
    <w:lvl w:ilvl="2" w:tplc="4866C66E">
      <w:start w:val="1"/>
      <w:numFmt w:val="bullet"/>
      <w:lvlText w:val="•"/>
      <w:lvlJc w:val="left"/>
      <w:pPr>
        <w:ind w:left="2160" w:hanging="360"/>
      </w:pPr>
    </w:lvl>
    <w:lvl w:ilvl="3" w:tplc="10C81ED2">
      <w:start w:val="1"/>
      <w:numFmt w:val="bullet"/>
      <w:lvlText w:val="•"/>
      <w:lvlJc w:val="left"/>
      <w:pPr>
        <w:ind w:left="2880" w:hanging="360"/>
      </w:pPr>
    </w:lvl>
    <w:lvl w:ilvl="4" w:tplc="AFB649CA">
      <w:start w:val="1"/>
      <w:numFmt w:val="bullet"/>
      <w:lvlText w:val="•"/>
      <w:lvlJc w:val="left"/>
      <w:pPr>
        <w:ind w:left="3600" w:hanging="360"/>
      </w:pPr>
    </w:lvl>
    <w:lvl w:ilvl="5" w:tplc="1C76200C">
      <w:start w:val="1"/>
      <w:numFmt w:val="bullet"/>
      <w:lvlText w:val="•"/>
      <w:lvlJc w:val="left"/>
      <w:pPr>
        <w:ind w:left="4320" w:hanging="360"/>
      </w:pPr>
    </w:lvl>
    <w:lvl w:ilvl="6" w:tplc="F790E768">
      <w:start w:val="1"/>
      <w:numFmt w:val="bullet"/>
      <w:lvlText w:val="•"/>
      <w:lvlJc w:val="left"/>
      <w:pPr>
        <w:ind w:left="5040" w:hanging="360"/>
      </w:pPr>
    </w:lvl>
    <w:lvl w:ilvl="7" w:tplc="2B385348">
      <w:start w:val="1"/>
      <w:numFmt w:val="bullet"/>
      <w:lvlText w:val="•"/>
      <w:lvlJc w:val="left"/>
      <w:pPr>
        <w:ind w:left="5760" w:hanging="360"/>
      </w:pPr>
    </w:lvl>
    <w:lvl w:ilvl="8" w:tplc="860C05E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E1"/>
    <w:rsid w:val="007835E1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074DD-379B-44BD-BF6F-544BA770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dcterms:created xsi:type="dcterms:W3CDTF">2026-02-05T06:32:00Z</dcterms:created>
  <dcterms:modified xsi:type="dcterms:W3CDTF">2026-02-05T06:32:00Z</dcterms:modified>
</cp:coreProperties>
</file>